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530E60CE" w:rsidR="002B4F4A" w:rsidRDefault="00CC6142" w:rsidP="00721D02">
      <w:pPr>
        <w:spacing w:after="0"/>
        <w:jc w:val="center"/>
        <w:rPr>
          <w:rFonts w:ascii="Verdana" w:hAnsi="Verdana"/>
          <w:b/>
          <w:bCs/>
          <w:sz w:val="20"/>
          <w:szCs w:val="20"/>
        </w:rPr>
      </w:pPr>
      <w:r w:rsidRPr="00A41E5E">
        <w:rPr>
          <w:rFonts w:ascii="Verdana" w:hAnsi="Verdana"/>
          <w:b/>
          <w:bCs/>
          <w:sz w:val="20"/>
          <w:szCs w:val="20"/>
        </w:rPr>
        <w:t>PARTE</w:t>
      </w:r>
      <w:r w:rsidR="00A41E5E" w:rsidRPr="00A41E5E">
        <w:rPr>
          <w:rFonts w:ascii="Verdana" w:hAnsi="Verdana"/>
          <w:b/>
          <w:bCs/>
          <w:sz w:val="20"/>
          <w:szCs w:val="20"/>
        </w:rPr>
        <w:t xml:space="preserve"> </w:t>
      </w:r>
      <w:r w:rsidR="00294F40">
        <w:rPr>
          <w:rFonts w:ascii="Verdana" w:hAnsi="Verdana"/>
          <w:b/>
          <w:bCs/>
          <w:sz w:val="20"/>
          <w:szCs w:val="20"/>
        </w:rPr>
        <w:t>2</w:t>
      </w:r>
    </w:p>
    <w:p w14:paraId="6000F327" w14:textId="2AB24E5E" w:rsidR="0006736C" w:rsidRDefault="00AF39C9" w:rsidP="00721D02">
      <w:pPr>
        <w:spacing w:after="0"/>
        <w:jc w:val="center"/>
        <w:rPr>
          <w:rFonts w:ascii="Verdana" w:hAnsi="Verdana"/>
          <w:b/>
          <w:bCs/>
          <w:sz w:val="20"/>
          <w:szCs w:val="20"/>
        </w:rPr>
      </w:pPr>
      <w:r w:rsidRPr="005272FF">
        <w:rPr>
          <w:rFonts w:ascii="Verdana" w:hAnsi="Verdana"/>
          <w:b/>
          <w:bCs/>
          <w:sz w:val="20"/>
          <w:szCs w:val="20"/>
        </w:rPr>
        <w:t>CONTROLES DE LEY Y ASUNTOS PRUDENCIALES</w:t>
      </w:r>
    </w:p>
    <w:p w14:paraId="1BF07C81" w14:textId="77777777" w:rsidR="00721D02" w:rsidRDefault="00721D02" w:rsidP="00721D02">
      <w:pPr>
        <w:spacing w:after="0"/>
        <w:jc w:val="center"/>
        <w:rPr>
          <w:rFonts w:ascii="Verdana" w:hAnsi="Verdana"/>
          <w:b/>
          <w:bCs/>
          <w:sz w:val="20"/>
          <w:szCs w:val="20"/>
        </w:rPr>
      </w:pPr>
    </w:p>
    <w:p w14:paraId="438B98D3" w14:textId="27351DDB" w:rsidR="00A41E5E" w:rsidRDefault="00A41E5E" w:rsidP="00721D02">
      <w:pPr>
        <w:spacing w:after="0"/>
        <w:jc w:val="center"/>
        <w:rPr>
          <w:rFonts w:ascii="Verdana" w:hAnsi="Verdana"/>
          <w:b/>
          <w:bCs/>
          <w:sz w:val="20"/>
          <w:szCs w:val="20"/>
        </w:rPr>
      </w:pPr>
      <w:r>
        <w:rPr>
          <w:rFonts w:ascii="Verdana" w:hAnsi="Verdana"/>
          <w:b/>
          <w:bCs/>
          <w:sz w:val="20"/>
          <w:szCs w:val="20"/>
        </w:rPr>
        <w:t xml:space="preserve">CAPÍTULO </w:t>
      </w:r>
      <w:r w:rsidR="00AF39C9">
        <w:rPr>
          <w:rFonts w:ascii="Verdana" w:hAnsi="Verdana"/>
          <w:b/>
          <w:bCs/>
          <w:sz w:val="20"/>
          <w:szCs w:val="20"/>
        </w:rPr>
        <w:t>8</w:t>
      </w:r>
    </w:p>
    <w:p w14:paraId="3F9900A3" w14:textId="64E0C5CA" w:rsidR="00DA0C0E" w:rsidRDefault="00053942" w:rsidP="00721D02">
      <w:pPr>
        <w:spacing w:after="0"/>
        <w:jc w:val="center"/>
        <w:rPr>
          <w:rFonts w:ascii="Verdana" w:hAnsi="Verdana"/>
          <w:b/>
          <w:bCs/>
          <w:sz w:val="20"/>
          <w:szCs w:val="20"/>
        </w:rPr>
      </w:pPr>
      <w:r w:rsidRPr="00053942">
        <w:rPr>
          <w:rFonts w:ascii="Verdana" w:hAnsi="Verdana"/>
          <w:b/>
          <w:bCs/>
          <w:sz w:val="20"/>
          <w:szCs w:val="20"/>
        </w:rPr>
        <w:t>CUMPLIMIENTO DE NORMAS DEL BANCO DE LA REPÚBLICA</w:t>
      </w:r>
    </w:p>
    <w:p w14:paraId="3AEDBD8A" w14:textId="77777777" w:rsidR="00721D02" w:rsidRDefault="00721D02" w:rsidP="00721D02">
      <w:pPr>
        <w:spacing w:after="0"/>
        <w:jc w:val="center"/>
        <w:rPr>
          <w:rFonts w:ascii="Verdana" w:hAnsi="Verdana"/>
          <w:b/>
          <w:bCs/>
          <w:sz w:val="20"/>
          <w:szCs w:val="20"/>
        </w:rPr>
      </w:pPr>
    </w:p>
    <w:p w14:paraId="5A25184E" w14:textId="6A167C16" w:rsidR="00DA0C0E" w:rsidRDefault="00DA0C0E" w:rsidP="00721D02">
      <w:pPr>
        <w:spacing w:after="0"/>
        <w:jc w:val="center"/>
        <w:rPr>
          <w:rFonts w:ascii="Verdana" w:hAnsi="Verdana"/>
          <w:b/>
          <w:bCs/>
          <w:sz w:val="20"/>
          <w:szCs w:val="20"/>
        </w:rPr>
      </w:pPr>
      <w:r>
        <w:rPr>
          <w:rFonts w:ascii="Verdana" w:hAnsi="Verdana"/>
          <w:b/>
          <w:bCs/>
          <w:sz w:val="20"/>
          <w:szCs w:val="20"/>
        </w:rPr>
        <w:t xml:space="preserve">SECCIÓN </w:t>
      </w:r>
      <w:r w:rsidR="00053942">
        <w:rPr>
          <w:rFonts w:ascii="Verdana" w:hAnsi="Verdana"/>
          <w:b/>
          <w:bCs/>
          <w:sz w:val="20"/>
          <w:szCs w:val="20"/>
        </w:rPr>
        <w:t>3</w:t>
      </w:r>
    </w:p>
    <w:p w14:paraId="5C223E21" w14:textId="6BDE58D2" w:rsidR="00DA0C0E" w:rsidRDefault="00EF7518" w:rsidP="00721D02">
      <w:pPr>
        <w:spacing w:after="0"/>
        <w:jc w:val="center"/>
        <w:rPr>
          <w:rFonts w:ascii="Verdana" w:hAnsi="Verdana"/>
          <w:b/>
          <w:bCs/>
          <w:sz w:val="20"/>
          <w:szCs w:val="20"/>
        </w:rPr>
      </w:pPr>
      <w:r w:rsidRPr="00EF7518">
        <w:rPr>
          <w:rFonts w:ascii="Verdana" w:hAnsi="Verdana"/>
          <w:b/>
          <w:bCs/>
          <w:sz w:val="20"/>
          <w:szCs w:val="20"/>
        </w:rPr>
        <w:t>INVERSIONES OBLIGATORIAS EN FINAGRO</w:t>
      </w:r>
    </w:p>
    <w:p w14:paraId="34FD7863" w14:textId="77777777" w:rsidR="009D6127" w:rsidRDefault="009D6127" w:rsidP="009D6127">
      <w:pPr>
        <w:rPr>
          <w:rFonts w:ascii="Verdana" w:hAnsi="Verdana"/>
          <w:b/>
          <w:bCs/>
          <w:sz w:val="20"/>
          <w:szCs w:val="20"/>
        </w:rPr>
      </w:pPr>
    </w:p>
    <w:p w14:paraId="55A94767" w14:textId="463A7093" w:rsidR="00DA0C0E" w:rsidRDefault="00470F1B" w:rsidP="009D6127">
      <w:pPr>
        <w:rPr>
          <w:rFonts w:ascii="Verdana" w:hAnsi="Verdana"/>
          <w:b/>
          <w:bCs/>
          <w:sz w:val="20"/>
          <w:szCs w:val="20"/>
        </w:rPr>
      </w:pPr>
      <w:r>
        <w:rPr>
          <w:rFonts w:ascii="Verdana" w:hAnsi="Verdana"/>
          <w:b/>
          <w:bCs/>
          <w:sz w:val="20"/>
          <w:szCs w:val="20"/>
        </w:rPr>
        <w:t>ÁMBITO DE APLICACIÓN</w:t>
      </w:r>
    </w:p>
    <w:p w14:paraId="0A68FA75" w14:textId="77777777" w:rsidR="00D00FCF" w:rsidRPr="00BF0C57" w:rsidRDefault="00D00FCF" w:rsidP="00D00FCF">
      <w:pPr>
        <w:spacing w:after="0"/>
        <w:rPr>
          <w:rFonts w:ascii="Verdana" w:hAnsi="Verdana"/>
          <w:sz w:val="20"/>
          <w:szCs w:val="20"/>
        </w:rPr>
      </w:pPr>
      <w:r>
        <w:rPr>
          <w:rFonts w:ascii="Verdana" w:hAnsi="Verdana"/>
          <w:sz w:val="20"/>
          <w:szCs w:val="20"/>
        </w:rPr>
        <w:t>2</w:t>
      </w:r>
      <w:r w:rsidRPr="00BF0C57">
        <w:rPr>
          <w:rFonts w:ascii="Verdana" w:hAnsi="Verdana"/>
          <w:sz w:val="20"/>
          <w:szCs w:val="20"/>
        </w:rPr>
        <w:t>.</w:t>
      </w:r>
      <w:r>
        <w:rPr>
          <w:rFonts w:ascii="Verdana" w:hAnsi="Verdana"/>
          <w:sz w:val="20"/>
          <w:szCs w:val="20"/>
        </w:rPr>
        <w:t>8</w:t>
      </w:r>
      <w:r w:rsidRPr="00BF0C57">
        <w:rPr>
          <w:rFonts w:ascii="Verdana" w:hAnsi="Verdana"/>
          <w:sz w:val="20"/>
          <w:szCs w:val="20"/>
        </w:rPr>
        <w:t>.</w:t>
      </w:r>
      <w:r>
        <w:rPr>
          <w:rFonts w:ascii="Verdana" w:hAnsi="Verdana"/>
          <w:sz w:val="20"/>
          <w:szCs w:val="20"/>
        </w:rPr>
        <w:t>3</w:t>
      </w:r>
      <w:r w:rsidRPr="00BF0C57">
        <w:rPr>
          <w:rFonts w:ascii="Verdana" w:hAnsi="Verdana"/>
          <w:sz w:val="20"/>
          <w:szCs w:val="20"/>
        </w:rPr>
        <w:t>.</w:t>
      </w:r>
      <w:r>
        <w:rPr>
          <w:rFonts w:ascii="Verdana" w:hAnsi="Verdana"/>
          <w:sz w:val="20"/>
          <w:szCs w:val="20"/>
        </w:rPr>
        <w:t>1.</w:t>
      </w:r>
    </w:p>
    <w:p w14:paraId="785D1851" w14:textId="77777777" w:rsidR="00D00FCF" w:rsidRPr="00A67FE3" w:rsidRDefault="00D00FCF" w:rsidP="00D00FCF">
      <w:pPr>
        <w:jc w:val="both"/>
        <w:rPr>
          <w:rFonts w:ascii="Verdana" w:hAnsi="Verdana" w:cs="Arial"/>
          <w:sz w:val="20"/>
          <w:szCs w:val="20"/>
          <w:lang w:val="es-ES"/>
        </w:rPr>
      </w:pPr>
      <w:r w:rsidRPr="00A67FE3">
        <w:rPr>
          <w:rFonts w:ascii="Verdana" w:hAnsi="Verdana" w:cs="Arial"/>
          <w:sz w:val="20"/>
          <w:szCs w:val="20"/>
          <w:lang w:val="es-ES"/>
        </w:rPr>
        <w:t xml:space="preserve">Las instrucciones del presente capítulo son aplicables a los establecimientos de crédito, en concordancia con lo dispuesto en el artículo 1 de la Resolución Externa 3 de 2000 del Banco de la República. </w:t>
      </w:r>
    </w:p>
    <w:p w14:paraId="267AD603" w14:textId="7F37EC7B" w:rsidR="00D00FCF" w:rsidRPr="00720CC5" w:rsidRDefault="00470F1B" w:rsidP="00720CC5">
      <w:pPr>
        <w:rPr>
          <w:rFonts w:ascii="Verdana" w:hAnsi="Verdana"/>
          <w:b/>
          <w:bCs/>
          <w:sz w:val="20"/>
          <w:szCs w:val="20"/>
        </w:rPr>
      </w:pPr>
      <w:r w:rsidRPr="00720CC5">
        <w:rPr>
          <w:rFonts w:ascii="Verdana" w:hAnsi="Verdana"/>
          <w:b/>
          <w:bCs/>
          <w:sz w:val="20"/>
          <w:szCs w:val="20"/>
        </w:rPr>
        <w:t>GENERALIDADES</w:t>
      </w:r>
    </w:p>
    <w:p w14:paraId="73EED57B" w14:textId="77777777" w:rsidR="00D00FCF" w:rsidRPr="00BF0C57" w:rsidRDefault="00D00FCF" w:rsidP="00D00FCF">
      <w:pPr>
        <w:spacing w:after="0"/>
        <w:rPr>
          <w:rFonts w:ascii="Verdana" w:hAnsi="Verdana"/>
          <w:sz w:val="20"/>
          <w:szCs w:val="20"/>
        </w:rPr>
      </w:pPr>
      <w:r>
        <w:rPr>
          <w:rFonts w:ascii="Verdana" w:hAnsi="Verdana"/>
          <w:sz w:val="20"/>
          <w:szCs w:val="20"/>
        </w:rPr>
        <w:t>2</w:t>
      </w:r>
      <w:r w:rsidRPr="00BF0C57">
        <w:rPr>
          <w:rFonts w:ascii="Verdana" w:hAnsi="Verdana"/>
          <w:sz w:val="20"/>
          <w:szCs w:val="20"/>
        </w:rPr>
        <w:t>.</w:t>
      </w:r>
      <w:r>
        <w:rPr>
          <w:rFonts w:ascii="Verdana" w:hAnsi="Verdana"/>
          <w:sz w:val="20"/>
          <w:szCs w:val="20"/>
        </w:rPr>
        <w:t>8</w:t>
      </w:r>
      <w:r w:rsidRPr="00BF0C57">
        <w:rPr>
          <w:rFonts w:ascii="Verdana" w:hAnsi="Verdana"/>
          <w:sz w:val="20"/>
          <w:szCs w:val="20"/>
        </w:rPr>
        <w:t>.</w:t>
      </w:r>
      <w:r>
        <w:rPr>
          <w:rFonts w:ascii="Verdana" w:hAnsi="Verdana"/>
          <w:sz w:val="20"/>
          <w:szCs w:val="20"/>
        </w:rPr>
        <w:t>3</w:t>
      </w:r>
      <w:r w:rsidRPr="00BF0C57">
        <w:rPr>
          <w:rFonts w:ascii="Verdana" w:hAnsi="Verdana"/>
          <w:sz w:val="20"/>
          <w:szCs w:val="20"/>
        </w:rPr>
        <w:t>.</w:t>
      </w:r>
      <w:r>
        <w:rPr>
          <w:rFonts w:ascii="Verdana" w:hAnsi="Verdana"/>
          <w:sz w:val="20"/>
          <w:szCs w:val="20"/>
        </w:rPr>
        <w:t>2.</w:t>
      </w:r>
    </w:p>
    <w:p w14:paraId="64804B8A" w14:textId="215E7F6C" w:rsidR="00D00FCF" w:rsidRPr="00C77392" w:rsidRDefault="00D00FCF" w:rsidP="0039573C">
      <w:pPr>
        <w:jc w:val="both"/>
        <w:rPr>
          <w:rFonts w:ascii="Verdana" w:hAnsi="Verdana" w:cs="Arial"/>
          <w:sz w:val="20"/>
          <w:szCs w:val="20"/>
        </w:rPr>
      </w:pPr>
      <w:r w:rsidRPr="00A67FE3">
        <w:rPr>
          <w:rFonts w:ascii="Verdana" w:hAnsi="Verdana" w:cs="Arial"/>
          <w:sz w:val="20"/>
          <w:szCs w:val="20"/>
        </w:rPr>
        <w:t xml:space="preserve">Las inversiones obligatorias en Títulos de Desarrollo Agropecuario (TDA), emitidos por el Fondo para el Financiamiento del Sector Agropecuario (FINAGRO), se rigen por lo dispuesto en la Resolución Externa 3 de 2000 del Banco de la República, así como por las normas que la modifiquen, adicionen o complementen. </w:t>
      </w:r>
    </w:p>
    <w:p w14:paraId="28DECAF2" w14:textId="7818326A" w:rsidR="00D00FCF" w:rsidRPr="0039573C" w:rsidRDefault="0039573C" w:rsidP="00D00FCF">
      <w:pPr>
        <w:spacing w:after="0" w:line="240" w:lineRule="auto"/>
        <w:jc w:val="both"/>
        <w:rPr>
          <w:rFonts w:ascii="Verdana" w:hAnsi="Verdana" w:cs="Arial"/>
          <w:b/>
          <w:bCs/>
          <w:sz w:val="20"/>
          <w:szCs w:val="20"/>
        </w:rPr>
      </w:pPr>
      <w:r w:rsidRPr="0039573C">
        <w:rPr>
          <w:rFonts w:ascii="Verdana" w:hAnsi="Verdana" w:cs="Arial"/>
          <w:b/>
          <w:bCs/>
          <w:sz w:val="20"/>
          <w:szCs w:val="20"/>
        </w:rPr>
        <w:t>INFORMACIÓN PARA EL CÁLCULO Y DECLARACIÓN DEL MONTO REQUERIDO DE INVERSIÓN OBLIGATORIA EN TÍTULOS DE DESARROLLO AGROPECUARIO (TDA) CLASES A Y B</w:t>
      </w:r>
    </w:p>
    <w:p w14:paraId="061C6947" w14:textId="77777777" w:rsidR="00D00FCF" w:rsidRPr="00C77392" w:rsidRDefault="00D00FCF" w:rsidP="00D00FCF">
      <w:pPr>
        <w:spacing w:after="0"/>
        <w:rPr>
          <w:rFonts w:ascii="Verdana" w:hAnsi="Verdana" w:cs="Arial"/>
          <w:sz w:val="20"/>
          <w:szCs w:val="20"/>
        </w:rPr>
      </w:pPr>
    </w:p>
    <w:p w14:paraId="0AFF8796" w14:textId="77777777" w:rsidR="00D00FCF" w:rsidRPr="00C77392" w:rsidRDefault="00D00FCF" w:rsidP="00D00FCF">
      <w:pPr>
        <w:spacing w:after="0"/>
        <w:rPr>
          <w:rFonts w:ascii="Verdana" w:hAnsi="Verdana" w:cs="Arial"/>
          <w:sz w:val="20"/>
          <w:szCs w:val="20"/>
        </w:rPr>
      </w:pPr>
      <w:r w:rsidRPr="00C77392">
        <w:rPr>
          <w:rFonts w:ascii="Verdana" w:hAnsi="Verdana" w:cs="Arial"/>
          <w:sz w:val="20"/>
          <w:szCs w:val="20"/>
        </w:rPr>
        <w:t>2.8.3.3.</w:t>
      </w:r>
    </w:p>
    <w:p w14:paraId="332F858A" w14:textId="66ED42FD" w:rsidR="00D00FCF" w:rsidRPr="00C77392" w:rsidRDefault="00D00FCF" w:rsidP="00A22DF4">
      <w:pPr>
        <w:jc w:val="both"/>
        <w:rPr>
          <w:rFonts w:ascii="Verdana" w:hAnsi="Verdana" w:cs="Arial"/>
          <w:sz w:val="20"/>
          <w:szCs w:val="20"/>
        </w:rPr>
      </w:pPr>
      <w:r w:rsidRPr="00C77392">
        <w:rPr>
          <w:rFonts w:ascii="Verdana" w:hAnsi="Verdana" w:cs="Arial"/>
          <w:sz w:val="20"/>
          <w:szCs w:val="20"/>
        </w:rPr>
        <w:t>Los establecimientos de crédito deben reportar a la SFC la liquidación del monto de la inversión obligatoria en TDA clases A y B, a través del</w:t>
      </w:r>
      <w:r w:rsidR="007B3232">
        <w:rPr>
          <w:rFonts w:ascii="Verdana" w:hAnsi="Verdana" w:cs="Arial"/>
          <w:sz w:val="20"/>
          <w:szCs w:val="20"/>
        </w:rPr>
        <w:t xml:space="preserve"> formato o</w:t>
      </w:r>
      <w:r w:rsidRPr="00C77392">
        <w:rPr>
          <w:rFonts w:ascii="Verdana" w:hAnsi="Verdana" w:cs="Arial"/>
          <w:sz w:val="20"/>
          <w:szCs w:val="20"/>
        </w:rPr>
        <w:t xml:space="preserve"> </w:t>
      </w:r>
      <w:r w:rsidR="00C43EC7">
        <w:rPr>
          <w:rFonts w:ascii="Verdana" w:hAnsi="Verdana" w:cs="Arial"/>
          <w:sz w:val="20"/>
          <w:szCs w:val="20"/>
        </w:rPr>
        <w:t>mecanismo</w:t>
      </w:r>
      <w:r w:rsidR="00C43EC7" w:rsidRPr="00C77392">
        <w:rPr>
          <w:rFonts w:ascii="Verdana" w:hAnsi="Verdana" w:cs="Arial"/>
          <w:sz w:val="20"/>
          <w:szCs w:val="20"/>
        </w:rPr>
        <w:t xml:space="preserve"> </w:t>
      </w:r>
      <w:r w:rsidR="004B0479">
        <w:rPr>
          <w:rFonts w:ascii="Verdana" w:hAnsi="Verdana" w:cs="Arial"/>
          <w:sz w:val="20"/>
          <w:szCs w:val="20"/>
        </w:rPr>
        <w:t>dispuesto por esta Superintendencia,</w:t>
      </w:r>
      <w:r w:rsidR="00593C32">
        <w:rPr>
          <w:rFonts w:ascii="Verdana" w:hAnsi="Verdana" w:cs="Arial"/>
          <w:sz w:val="20"/>
          <w:szCs w:val="20"/>
        </w:rPr>
        <w:t xml:space="preserve"> de confo</w:t>
      </w:r>
      <w:r w:rsidR="004D6C3F">
        <w:rPr>
          <w:rFonts w:ascii="Verdana" w:hAnsi="Verdana" w:cs="Arial"/>
          <w:sz w:val="20"/>
          <w:szCs w:val="20"/>
        </w:rPr>
        <w:t xml:space="preserve">rmidad con las instrucciones </w:t>
      </w:r>
      <w:r w:rsidR="00D92FCD">
        <w:rPr>
          <w:rFonts w:ascii="Verdana" w:hAnsi="Verdana" w:cs="Arial"/>
          <w:sz w:val="20"/>
          <w:szCs w:val="20"/>
        </w:rPr>
        <w:t>definidas por la SFC</w:t>
      </w:r>
      <w:r w:rsidRPr="00C77392">
        <w:rPr>
          <w:rFonts w:ascii="Verdana" w:hAnsi="Verdana" w:cs="Arial"/>
          <w:sz w:val="20"/>
          <w:szCs w:val="20"/>
        </w:rPr>
        <w:t>.</w:t>
      </w:r>
    </w:p>
    <w:p w14:paraId="4122DF91" w14:textId="77777777" w:rsidR="00D00FCF" w:rsidRPr="00C77392" w:rsidRDefault="00D00FCF" w:rsidP="00D00FCF">
      <w:pPr>
        <w:spacing w:after="0"/>
        <w:rPr>
          <w:rFonts w:ascii="Verdana" w:hAnsi="Verdana" w:cs="Arial"/>
          <w:sz w:val="20"/>
          <w:szCs w:val="20"/>
        </w:rPr>
      </w:pPr>
      <w:r w:rsidRPr="00C77392">
        <w:rPr>
          <w:rFonts w:ascii="Verdana" w:hAnsi="Verdana" w:cs="Arial"/>
          <w:sz w:val="20"/>
          <w:szCs w:val="20"/>
        </w:rPr>
        <w:t>2.8.3.4.</w:t>
      </w:r>
    </w:p>
    <w:p w14:paraId="5B5C23C1" w14:textId="25A8CF49" w:rsidR="00D00FCF" w:rsidRPr="00C77392" w:rsidRDefault="00D00FCF" w:rsidP="00555726">
      <w:pPr>
        <w:jc w:val="both"/>
        <w:rPr>
          <w:rFonts w:ascii="Verdana" w:hAnsi="Verdana" w:cs="Arial"/>
          <w:sz w:val="20"/>
          <w:szCs w:val="20"/>
        </w:rPr>
      </w:pPr>
      <w:r w:rsidRPr="00C77392">
        <w:rPr>
          <w:rFonts w:ascii="Verdana" w:hAnsi="Verdana" w:cs="Arial"/>
          <w:sz w:val="20"/>
          <w:szCs w:val="20"/>
        </w:rPr>
        <w:t>Por su parte, FINAGRO debe reportar a la SFC los recursos que requiere para el desarrollo de su actividad crediticia</w:t>
      </w:r>
      <w:r w:rsidR="00525BD0">
        <w:rPr>
          <w:rFonts w:ascii="Verdana" w:hAnsi="Verdana" w:cs="Arial"/>
          <w:sz w:val="20"/>
          <w:szCs w:val="20"/>
        </w:rPr>
        <w:t xml:space="preserve">, </w:t>
      </w:r>
      <w:r w:rsidR="00525BD0" w:rsidRPr="00C77392">
        <w:rPr>
          <w:rFonts w:ascii="Verdana" w:hAnsi="Verdana" w:cs="Arial"/>
          <w:sz w:val="20"/>
          <w:szCs w:val="20"/>
        </w:rPr>
        <w:t>a través del</w:t>
      </w:r>
      <w:r w:rsidR="00525BD0">
        <w:rPr>
          <w:rFonts w:ascii="Verdana" w:hAnsi="Verdana" w:cs="Arial"/>
          <w:sz w:val="20"/>
          <w:szCs w:val="20"/>
        </w:rPr>
        <w:t xml:space="preserve"> formato o</w:t>
      </w:r>
      <w:r w:rsidR="00525BD0" w:rsidRPr="00C77392">
        <w:rPr>
          <w:rFonts w:ascii="Verdana" w:hAnsi="Verdana" w:cs="Arial"/>
          <w:sz w:val="20"/>
          <w:szCs w:val="20"/>
        </w:rPr>
        <w:t xml:space="preserve"> </w:t>
      </w:r>
      <w:r w:rsidR="00525BD0">
        <w:rPr>
          <w:rFonts w:ascii="Verdana" w:hAnsi="Verdana" w:cs="Arial"/>
          <w:sz w:val="20"/>
          <w:szCs w:val="20"/>
        </w:rPr>
        <w:t>mecanismo</w:t>
      </w:r>
      <w:r w:rsidR="00525BD0" w:rsidRPr="00C77392">
        <w:rPr>
          <w:rFonts w:ascii="Verdana" w:hAnsi="Verdana" w:cs="Arial"/>
          <w:sz w:val="20"/>
          <w:szCs w:val="20"/>
        </w:rPr>
        <w:t xml:space="preserve"> </w:t>
      </w:r>
      <w:r w:rsidR="00525BD0">
        <w:rPr>
          <w:rFonts w:ascii="Verdana" w:hAnsi="Verdana" w:cs="Arial"/>
          <w:sz w:val="20"/>
          <w:szCs w:val="20"/>
        </w:rPr>
        <w:t>dispuesto por esta Superintendencia, de conformidad con las instrucciones definidas por la SFC</w:t>
      </w:r>
      <w:r w:rsidR="00525BD0" w:rsidRPr="00C77392">
        <w:rPr>
          <w:rFonts w:ascii="Verdana" w:hAnsi="Verdana" w:cs="Arial"/>
          <w:sz w:val="20"/>
          <w:szCs w:val="20"/>
        </w:rPr>
        <w:t>.</w:t>
      </w:r>
    </w:p>
    <w:p w14:paraId="78D49261" w14:textId="77777777" w:rsidR="00D00FCF" w:rsidRPr="00C77392" w:rsidRDefault="00D00FCF" w:rsidP="00D00FCF">
      <w:pPr>
        <w:spacing w:after="0"/>
        <w:rPr>
          <w:rFonts w:ascii="Verdana" w:hAnsi="Verdana" w:cs="Arial"/>
          <w:sz w:val="20"/>
          <w:szCs w:val="20"/>
        </w:rPr>
      </w:pPr>
      <w:r w:rsidRPr="00C77392">
        <w:rPr>
          <w:rFonts w:ascii="Verdana" w:hAnsi="Verdana" w:cs="Arial"/>
          <w:sz w:val="20"/>
          <w:szCs w:val="20"/>
        </w:rPr>
        <w:t>2.8.3.5.</w:t>
      </w:r>
    </w:p>
    <w:p w14:paraId="45A1192E" w14:textId="7232E5DA" w:rsidR="00D00FCF" w:rsidRPr="00C77392" w:rsidRDefault="00D00FCF" w:rsidP="00A22DF4">
      <w:pPr>
        <w:jc w:val="both"/>
        <w:rPr>
          <w:rFonts w:ascii="Verdana" w:hAnsi="Verdana" w:cs="Arial"/>
          <w:sz w:val="20"/>
          <w:szCs w:val="20"/>
        </w:rPr>
      </w:pPr>
      <w:r w:rsidRPr="00C77392">
        <w:rPr>
          <w:rFonts w:ascii="Verdana" w:hAnsi="Verdana" w:cs="Arial"/>
          <w:sz w:val="20"/>
          <w:szCs w:val="20"/>
        </w:rPr>
        <w:t xml:space="preserve">Igualmente, FINAGRO debe reportar para cada uno de los establecimientos de crédito el monto de la inversión obligatoria en TDA clases A y B, descontados los excesos y devoluciones procedentes de acuerdo con el artículo 7 de la Resolución Externa 3 de 2000, </w:t>
      </w:r>
      <w:r w:rsidR="003A1C39" w:rsidRPr="00C77392">
        <w:rPr>
          <w:rFonts w:ascii="Verdana" w:hAnsi="Verdana" w:cs="Arial"/>
          <w:sz w:val="20"/>
          <w:szCs w:val="20"/>
        </w:rPr>
        <w:t>a través del</w:t>
      </w:r>
      <w:r w:rsidR="003A1C39">
        <w:rPr>
          <w:rFonts w:ascii="Verdana" w:hAnsi="Verdana" w:cs="Arial"/>
          <w:sz w:val="20"/>
          <w:szCs w:val="20"/>
        </w:rPr>
        <w:t xml:space="preserve"> formato o</w:t>
      </w:r>
      <w:r w:rsidR="003A1C39" w:rsidRPr="00C77392">
        <w:rPr>
          <w:rFonts w:ascii="Verdana" w:hAnsi="Verdana" w:cs="Arial"/>
          <w:sz w:val="20"/>
          <w:szCs w:val="20"/>
        </w:rPr>
        <w:t xml:space="preserve"> </w:t>
      </w:r>
      <w:r w:rsidR="003A1C39">
        <w:rPr>
          <w:rFonts w:ascii="Verdana" w:hAnsi="Verdana" w:cs="Arial"/>
          <w:sz w:val="20"/>
          <w:szCs w:val="20"/>
        </w:rPr>
        <w:t>mecanismo</w:t>
      </w:r>
      <w:r w:rsidR="003A1C39" w:rsidRPr="00C77392">
        <w:rPr>
          <w:rFonts w:ascii="Verdana" w:hAnsi="Verdana" w:cs="Arial"/>
          <w:sz w:val="20"/>
          <w:szCs w:val="20"/>
        </w:rPr>
        <w:t xml:space="preserve"> </w:t>
      </w:r>
      <w:r w:rsidR="003A1C39">
        <w:rPr>
          <w:rFonts w:ascii="Verdana" w:hAnsi="Verdana" w:cs="Arial"/>
          <w:sz w:val="20"/>
          <w:szCs w:val="20"/>
        </w:rPr>
        <w:t>dispuesto por esta Superintendencia, de conformidad con las instrucciones definidas por la SFC</w:t>
      </w:r>
      <w:r w:rsidR="003A1C39" w:rsidRPr="00C77392">
        <w:rPr>
          <w:rFonts w:ascii="Verdana" w:hAnsi="Verdana" w:cs="Arial"/>
          <w:sz w:val="20"/>
          <w:szCs w:val="20"/>
        </w:rPr>
        <w:t>.</w:t>
      </w:r>
    </w:p>
    <w:p w14:paraId="504FE65B" w14:textId="77777777" w:rsidR="00D00FCF" w:rsidRPr="00C77392" w:rsidRDefault="00D00FCF" w:rsidP="00D00FCF">
      <w:pPr>
        <w:spacing w:after="0"/>
        <w:rPr>
          <w:rFonts w:ascii="Verdana" w:hAnsi="Verdana" w:cs="Arial"/>
          <w:sz w:val="20"/>
          <w:szCs w:val="20"/>
        </w:rPr>
      </w:pPr>
      <w:r w:rsidRPr="00C77392">
        <w:rPr>
          <w:rFonts w:ascii="Verdana" w:hAnsi="Verdana" w:cs="Arial"/>
          <w:sz w:val="20"/>
          <w:szCs w:val="20"/>
        </w:rPr>
        <w:t>2.8.3.6.</w:t>
      </w:r>
    </w:p>
    <w:p w14:paraId="09ED9224" w14:textId="17871043" w:rsidR="00D00FCF" w:rsidRPr="00C77392" w:rsidRDefault="00D00FCF" w:rsidP="00A22DF4">
      <w:pPr>
        <w:jc w:val="both"/>
        <w:rPr>
          <w:rFonts w:ascii="Verdana" w:hAnsi="Verdana" w:cs="Arial"/>
          <w:sz w:val="20"/>
          <w:szCs w:val="20"/>
        </w:rPr>
      </w:pPr>
      <w:r w:rsidRPr="00C77392">
        <w:rPr>
          <w:rFonts w:ascii="Verdana" w:hAnsi="Verdana" w:cs="Arial"/>
          <w:sz w:val="20"/>
          <w:szCs w:val="20"/>
        </w:rPr>
        <w:t>Además de los reportes de información señalados anteriormente, dentro de los 10 días siguientes a la fecha del requerido de inversión, FINAGRO debe remitir a la SFC una comunicación informando los requerimientos para efectos del cálculo de los excedentes y devoluciones que sean aplicables.</w:t>
      </w:r>
    </w:p>
    <w:p w14:paraId="7A0C283F" w14:textId="77777777" w:rsidR="00D00FCF" w:rsidRPr="00C77392" w:rsidRDefault="00D00FCF" w:rsidP="00D00FCF">
      <w:pPr>
        <w:spacing w:after="0"/>
        <w:rPr>
          <w:rFonts w:ascii="Verdana" w:hAnsi="Verdana" w:cs="Arial"/>
          <w:sz w:val="20"/>
          <w:szCs w:val="20"/>
        </w:rPr>
      </w:pPr>
      <w:r w:rsidRPr="00C77392">
        <w:rPr>
          <w:rFonts w:ascii="Verdana" w:hAnsi="Verdana" w:cs="Arial"/>
          <w:sz w:val="20"/>
          <w:szCs w:val="20"/>
        </w:rPr>
        <w:t>2.8.3.7.</w:t>
      </w:r>
    </w:p>
    <w:p w14:paraId="69B7F434" w14:textId="052BC62C" w:rsidR="00D00FCF" w:rsidRPr="00C77392" w:rsidRDefault="00D00FCF" w:rsidP="00A22DF4">
      <w:pPr>
        <w:jc w:val="both"/>
        <w:rPr>
          <w:rFonts w:ascii="Verdana" w:hAnsi="Verdana" w:cs="Arial"/>
          <w:sz w:val="20"/>
          <w:szCs w:val="20"/>
        </w:rPr>
      </w:pPr>
      <w:r w:rsidRPr="00C77392">
        <w:rPr>
          <w:rFonts w:ascii="Verdana" w:hAnsi="Verdana" w:cs="Arial"/>
          <w:sz w:val="20"/>
          <w:szCs w:val="20"/>
        </w:rPr>
        <w:t xml:space="preserve">De acuerdo con el parágrafo 2 del artículo 2 de la Resolución Externa 3 de 2000, los trimestres que se deben tener en cuenta para el cálculo del requerido de inversiones obligatorias son los trimestres calendario comprendidos de enero a marzo, abril a junio, julio a septiembre y octubre a diciembre. </w:t>
      </w:r>
    </w:p>
    <w:p w14:paraId="51206786" w14:textId="77777777" w:rsidR="00D00FCF" w:rsidRPr="00C77392" w:rsidRDefault="00D00FCF" w:rsidP="00D00FCF">
      <w:pPr>
        <w:spacing w:after="0"/>
        <w:rPr>
          <w:rFonts w:ascii="Verdana" w:hAnsi="Verdana" w:cs="Arial"/>
          <w:sz w:val="20"/>
          <w:szCs w:val="20"/>
        </w:rPr>
      </w:pPr>
      <w:r w:rsidRPr="00C77392">
        <w:rPr>
          <w:rFonts w:ascii="Verdana" w:hAnsi="Verdana" w:cs="Arial"/>
          <w:sz w:val="20"/>
          <w:szCs w:val="20"/>
        </w:rPr>
        <w:t>2.8.3.8.</w:t>
      </w:r>
    </w:p>
    <w:p w14:paraId="5370B7C2" w14:textId="08F00675" w:rsidR="00D00FCF" w:rsidRPr="00C77392" w:rsidRDefault="00D00FCF" w:rsidP="00A22DF4">
      <w:pPr>
        <w:jc w:val="both"/>
        <w:rPr>
          <w:rFonts w:ascii="Verdana" w:hAnsi="Verdana" w:cs="Arial"/>
          <w:sz w:val="20"/>
          <w:szCs w:val="20"/>
        </w:rPr>
      </w:pPr>
      <w:r w:rsidRPr="00C77392">
        <w:rPr>
          <w:rFonts w:ascii="Verdana" w:hAnsi="Verdana" w:cs="Arial"/>
          <w:sz w:val="20"/>
          <w:szCs w:val="20"/>
        </w:rPr>
        <w:t>El requerido de la inversión obligatoria se cumplirá al mes siguiente de cada trimestre y el computable así demostrado deberá mantenerse hasta el cumplimiento de la inversión del nuevo trimestre.</w:t>
      </w:r>
    </w:p>
    <w:p w14:paraId="26468297" w14:textId="77777777" w:rsidR="00D00FCF" w:rsidRPr="00C77392" w:rsidRDefault="00D00FCF" w:rsidP="00D00FCF">
      <w:pPr>
        <w:spacing w:after="0"/>
        <w:rPr>
          <w:rFonts w:ascii="Verdana" w:hAnsi="Verdana" w:cs="Arial"/>
          <w:sz w:val="20"/>
          <w:szCs w:val="20"/>
        </w:rPr>
      </w:pPr>
      <w:r w:rsidRPr="00C77392">
        <w:rPr>
          <w:rFonts w:ascii="Verdana" w:hAnsi="Verdana" w:cs="Arial"/>
          <w:sz w:val="20"/>
          <w:szCs w:val="20"/>
        </w:rPr>
        <w:t>2.8.3.9.</w:t>
      </w:r>
    </w:p>
    <w:p w14:paraId="53F008AC" w14:textId="39D06701" w:rsidR="00D00FCF" w:rsidRPr="00C77392" w:rsidRDefault="00D00FCF" w:rsidP="00424379">
      <w:pPr>
        <w:spacing w:after="0"/>
        <w:jc w:val="both"/>
        <w:rPr>
          <w:rFonts w:ascii="Verdana" w:hAnsi="Verdana" w:cs="Arial"/>
          <w:sz w:val="20"/>
          <w:szCs w:val="20"/>
        </w:rPr>
      </w:pPr>
      <w:r w:rsidRPr="00C77392">
        <w:rPr>
          <w:rFonts w:ascii="Verdana" w:hAnsi="Verdana" w:cs="Arial"/>
          <w:sz w:val="20"/>
          <w:szCs w:val="20"/>
        </w:rPr>
        <w:t>En desarrollo de lo previsto en el artículo 8 de la Resolución Externa 3 de 2000, con base en la información reportada por los establecimientos de crédito y FINAGRO la SFC comunicará a los establecimientos de crédito la información para el cálculo de la inversión obligatoria en TDA, a través de carta circular.</w:t>
      </w:r>
    </w:p>
    <w:p w14:paraId="73D5F9F4" w14:textId="77777777" w:rsidR="00A22DF4" w:rsidRPr="00C77392" w:rsidRDefault="00A22DF4" w:rsidP="00D00FCF">
      <w:pPr>
        <w:spacing w:after="0"/>
        <w:rPr>
          <w:rFonts w:ascii="Verdana" w:hAnsi="Verdana" w:cs="Arial"/>
          <w:sz w:val="20"/>
          <w:szCs w:val="20"/>
        </w:rPr>
      </w:pPr>
    </w:p>
    <w:p w14:paraId="3A899211" w14:textId="77777777" w:rsidR="00D00FCF" w:rsidRPr="00C77392" w:rsidRDefault="00D00FCF" w:rsidP="00D00FCF">
      <w:pPr>
        <w:spacing w:after="0"/>
        <w:rPr>
          <w:rFonts w:ascii="Verdana" w:hAnsi="Verdana" w:cs="Arial"/>
          <w:sz w:val="20"/>
          <w:szCs w:val="20"/>
        </w:rPr>
      </w:pPr>
      <w:r w:rsidRPr="00C77392">
        <w:rPr>
          <w:rFonts w:ascii="Verdana" w:hAnsi="Verdana" w:cs="Arial"/>
          <w:sz w:val="20"/>
          <w:szCs w:val="20"/>
        </w:rPr>
        <w:lastRenderedPageBreak/>
        <w:t>2.8.3.10.</w:t>
      </w:r>
    </w:p>
    <w:p w14:paraId="4AB55903" w14:textId="77777777" w:rsidR="00D00FCF" w:rsidRPr="00C77392" w:rsidRDefault="00D00FCF" w:rsidP="00D00FCF">
      <w:pPr>
        <w:jc w:val="both"/>
        <w:rPr>
          <w:rFonts w:ascii="Verdana" w:hAnsi="Verdana" w:cs="Arial"/>
          <w:sz w:val="20"/>
          <w:szCs w:val="20"/>
        </w:rPr>
      </w:pPr>
      <w:r w:rsidRPr="00C77392">
        <w:rPr>
          <w:rFonts w:ascii="Verdana" w:hAnsi="Verdana" w:cs="Arial"/>
          <w:sz w:val="20"/>
          <w:szCs w:val="20"/>
        </w:rPr>
        <w:t>Las inversiones que se venzan antes de que la SFC suministre la información a que se refiere el artículo 8 de la Resolución Externa 3 de 2000 se deben renovar a fin de mantener el monto requerido de la inversión obligatoria. No obstante, lo anterior, FINAGRO podrá adquirir antes de su vencimiento TDA en las condiciones previstas para el efecto en el artículo 11 de la Resolución Externa 3 de 2000 ya citada.</w:t>
      </w:r>
    </w:p>
    <w:p w14:paraId="5A877794" w14:textId="1E44D7A8" w:rsidR="00D00FCF" w:rsidRPr="00424379" w:rsidRDefault="00424379" w:rsidP="00720CC5">
      <w:pPr>
        <w:rPr>
          <w:rFonts w:ascii="Verdana" w:hAnsi="Verdana" w:cs="Arial"/>
          <w:b/>
          <w:bCs/>
          <w:sz w:val="20"/>
          <w:szCs w:val="20"/>
        </w:rPr>
      </w:pPr>
      <w:r w:rsidRPr="00424379">
        <w:rPr>
          <w:rFonts w:ascii="Verdana" w:hAnsi="Verdana" w:cs="Arial"/>
          <w:b/>
          <w:bCs/>
          <w:sz w:val="20"/>
          <w:szCs w:val="20"/>
        </w:rPr>
        <w:t>COLOCACIONES SUSTITUTIVAS</w:t>
      </w:r>
    </w:p>
    <w:p w14:paraId="0E2417AF" w14:textId="77777777" w:rsidR="00D00FCF" w:rsidRPr="00C77392" w:rsidRDefault="00D00FCF" w:rsidP="00D00FCF">
      <w:pPr>
        <w:spacing w:after="0"/>
        <w:rPr>
          <w:rFonts w:ascii="Verdana" w:hAnsi="Verdana" w:cs="Arial"/>
          <w:sz w:val="20"/>
          <w:szCs w:val="20"/>
        </w:rPr>
      </w:pPr>
      <w:r w:rsidRPr="00C77392">
        <w:rPr>
          <w:rFonts w:ascii="Verdana" w:hAnsi="Verdana" w:cs="Arial"/>
          <w:sz w:val="20"/>
          <w:szCs w:val="20"/>
        </w:rPr>
        <w:t>2.8.3.11.</w:t>
      </w:r>
    </w:p>
    <w:p w14:paraId="2ABFC938" w14:textId="6F79CC40" w:rsidR="00D00FCF" w:rsidRPr="00C77392" w:rsidRDefault="00D00FCF" w:rsidP="00A22DF4">
      <w:pPr>
        <w:jc w:val="both"/>
        <w:rPr>
          <w:rFonts w:ascii="Verdana" w:hAnsi="Verdana" w:cs="Arial"/>
          <w:sz w:val="20"/>
          <w:szCs w:val="20"/>
        </w:rPr>
      </w:pPr>
      <w:r w:rsidRPr="00C77392">
        <w:rPr>
          <w:rFonts w:ascii="Verdana" w:hAnsi="Verdana" w:cs="Arial"/>
          <w:sz w:val="20"/>
          <w:szCs w:val="20"/>
        </w:rPr>
        <w:t>Se computarán como colocación sustitutiva las operaciones que cumplan los requisitos previstos en el artículo 5 de la Resolución Externa 3 de 2000.</w:t>
      </w:r>
    </w:p>
    <w:p w14:paraId="1A973A58" w14:textId="77777777" w:rsidR="00D00FCF" w:rsidRPr="00C77392" w:rsidRDefault="00D00FCF" w:rsidP="00D00FCF">
      <w:pPr>
        <w:spacing w:after="0"/>
        <w:rPr>
          <w:rFonts w:ascii="Verdana" w:hAnsi="Verdana" w:cs="Arial"/>
          <w:sz w:val="20"/>
          <w:szCs w:val="20"/>
        </w:rPr>
      </w:pPr>
      <w:r w:rsidRPr="00C77392">
        <w:rPr>
          <w:rFonts w:ascii="Verdana" w:hAnsi="Verdana" w:cs="Arial"/>
          <w:sz w:val="20"/>
          <w:szCs w:val="20"/>
        </w:rPr>
        <w:t>2.8.3.12.</w:t>
      </w:r>
    </w:p>
    <w:p w14:paraId="19CE30AE" w14:textId="2E3A066D" w:rsidR="00D00FCF" w:rsidRPr="00C77392" w:rsidRDefault="00D00FCF" w:rsidP="00A22DF4">
      <w:pPr>
        <w:jc w:val="both"/>
        <w:rPr>
          <w:rFonts w:ascii="Verdana" w:hAnsi="Verdana" w:cs="Arial"/>
          <w:sz w:val="20"/>
          <w:szCs w:val="20"/>
        </w:rPr>
      </w:pPr>
      <w:r w:rsidRPr="00C77392">
        <w:rPr>
          <w:rFonts w:ascii="Verdana" w:hAnsi="Verdana" w:cs="Arial"/>
          <w:sz w:val="20"/>
          <w:szCs w:val="20"/>
        </w:rPr>
        <w:t>De conformidad con lo establecido en el artículo 2 de la Resolución Externa 7 de 2014 del Banco de la República, los accionistas de FINAGRO, diferentes a la Nación y al Banco Agrario de Colombia S.A., podrán computar el valor de los aportes efectuados en dicha entidad para el cumplimiento de su requerido de inversión en TDA.</w:t>
      </w:r>
    </w:p>
    <w:p w14:paraId="162E4B98" w14:textId="77777777" w:rsidR="00D00FCF" w:rsidRPr="00C77392" w:rsidRDefault="00D00FCF" w:rsidP="00D00FCF">
      <w:pPr>
        <w:spacing w:after="0"/>
        <w:rPr>
          <w:rFonts w:ascii="Verdana" w:hAnsi="Verdana" w:cs="Arial"/>
          <w:sz w:val="20"/>
          <w:szCs w:val="20"/>
        </w:rPr>
      </w:pPr>
      <w:r w:rsidRPr="00C77392">
        <w:rPr>
          <w:rFonts w:ascii="Verdana" w:hAnsi="Verdana" w:cs="Arial"/>
          <w:sz w:val="20"/>
          <w:szCs w:val="20"/>
        </w:rPr>
        <w:t>2.8.3.13.</w:t>
      </w:r>
    </w:p>
    <w:p w14:paraId="0916CB88" w14:textId="77777777" w:rsidR="00D00FCF" w:rsidRPr="00C77392" w:rsidRDefault="00D00FCF" w:rsidP="00D00FCF">
      <w:pPr>
        <w:jc w:val="both"/>
        <w:rPr>
          <w:rFonts w:ascii="Verdana" w:hAnsi="Verdana" w:cs="Arial"/>
          <w:sz w:val="20"/>
          <w:szCs w:val="20"/>
        </w:rPr>
      </w:pPr>
      <w:r w:rsidRPr="00C77392">
        <w:rPr>
          <w:rFonts w:ascii="Verdana" w:hAnsi="Verdana" w:cs="Arial"/>
          <w:sz w:val="20"/>
          <w:szCs w:val="20"/>
        </w:rPr>
        <w:t>En todo caso, la sustitución de las inversiones obligatorias en TDA deberá cumplir los montos máximos que establezca el Banco de la República de conformidad con el artículo 112 del EOSF, modificado por el artículo 221 de la Ley 2294 de 2023.</w:t>
      </w:r>
    </w:p>
    <w:p w14:paraId="4B09359C" w14:textId="2CC564BC" w:rsidR="00D00FCF" w:rsidRPr="00424379" w:rsidRDefault="00424379" w:rsidP="00720CC5">
      <w:pPr>
        <w:rPr>
          <w:rFonts w:ascii="Verdana" w:hAnsi="Verdana" w:cs="Arial"/>
          <w:b/>
          <w:bCs/>
          <w:sz w:val="20"/>
          <w:szCs w:val="20"/>
        </w:rPr>
      </w:pPr>
      <w:r w:rsidRPr="00424379">
        <w:rPr>
          <w:rFonts w:ascii="Verdana" w:hAnsi="Verdana" w:cs="Arial"/>
          <w:b/>
          <w:bCs/>
          <w:sz w:val="20"/>
          <w:szCs w:val="20"/>
        </w:rPr>
        <w:t>TÉRMINO DE LA INVERSIÓN</w:t>
      </w:r>
    </w:p>
    <w:p w14:paraId="1960C0D7" w14:textId="77777777" w:rsidR="00D00FCF" w:rsidRPr="00C77392" w:rsidRDefault="00D00FCF" w:rsidP="00D00FCF">
      <w:pPr>
        <w:spacing w:after="0"/>
        <w:rPr>
          <w:rFonts w:ascii="Verdana" w:hAnsi="Verdana" w:cs="Arial"/>
          <w:sz w:val="20"/>
          <w:szCs w:val="20"/>
        </w:rPr>
      </w:pPr>
      <w:r w:rsidRPr="00C77392">
        <w:rPr>
          <w:rFonts w:ascii="Verdana" w:hAnsi="Verdana" w:cs="Arial"/>
          <w:sz w:val="20"/>
          <w:szCs w:val="20"/>
        </w:rPr>
        <w:t>2.8.3.14.</w:t>
      </w:r>
    </w:p>
    <w:p w14:paraId="2FD2CA87" w14:textId="77777777" w:rsidR="00D00FCF" w:rsidRPr="00C77392" w:rsidRDefault="00D00FCF" w:rsidP="00D00FCF">
      <w:pPr>
        <w:jc w:val="both"/>
        <w:rPr>
          <w:rFonts w:ascii="Verdana" w:hAnsi="Verdana" w:cs="Arial"/>
          <w:sz w:val="20"/>
          <w:szCs w:val="20"/>
        </w:rPr>
      </w:pPr>
      <w:r w:rsidRPr="00C77392">
        <w:rPr>
          <w:rFonts w:ascii="Verdana" w:hAnsi="Verdana" w:cs="Arial"/>
          <w:sz w:val="20"/>
          <w:szCs w:val="20"/>
        </w:rPr>
        <w:t>De acuerdo con el artículo 3 de la Resolución Externa 3 de 2000 del Banco de la República, los establecimientos de crédito deberán efectuar las inversiones obligatorias en TDA a más tardar el último día hábil de los meses de enero, abril, julio y octubre, según corresponda.</w:t>
      </w:r>
    </w:p>
    <w:p w14:paraId="1AA62A4F" w14:textId="07778A4A" w:rsidR="00D00FCF" w:rsidRPr="00424379" w:rsidRDefault="00424379" w:rsidP="00720CC5">
      <w:pPr>
        <w:rPr>
          <w:rFonts w:ascii="Verdana" w:hAnsi="Verdana" w:cs="Arial"/>
          <w:b/>
          <w:bCs/>
          <w:sz w:val="20"/>
          <w:szCs w:val="20"/>
        </w:rPr>
      </w:pPr>
      <w:r w:rsidRPr="00424379">
        <w:rPr>
          <w:rFonts w:ascii="Verdana" w:hAnsi="Verdana" w:cs="Arial"/>
          <w:b/>
          <w:bCs/>
          <w:sz w:val="20"/>
          <w:szCs w:val="20"/>
        </w:rPr>
        <w:t>CONTROL DE LA INVERSIÓN</w:t>
      </w:r>
    </w:p>
    <w:p w14:paraId="08F534E0" w14:textId="77777777" w:rsidR="00D00FCF" w:rsidRPr="00C77392" w:rsidRDefault="00D00FCF" w:rsidP="00D00FCF">
      <w:pPr>
        <w:spacing w:after="0"/>
        <w:rPr>
          <w:rFonts w:ascii="Verdana" w:hAnsi="Verdana" w:cs="Arial"/>
          <w:sz w:val="20"/>
          <w:szCs w:val="20"/>
        </w:rPr>
      </w:pPr>
      <w:r w:rsidRPr="00C77392">
        <w:rPr>
          <w:rFonts w:ascii="Verdana" w:hAnsi="Verdana" w:cs="Arial"/>
          <w:sz w:val="20"/>
          <w:szCs w:val="20"/>
        </w:rPr>
        <w:t>2.8.3.15.</w:t>
      </w:r>
    </w:p>
    <w:p w14:paraId="6CC88669" w14:textId="56E3A4F9" w:rsidR="00424379" w:rsidRDefault="00D00FCF" w:rsidP="00424379">
      <w:pPr>
        <w:pStyle w:val="Textoindependiente"/>
        <w:rPr>
          <w:rFonts w:ascii="Verdana" w:eastAsiaTheme="minorHAnsi" w:hAnsi="Verdana" w:cs="Arial"/>
          <w:kern w:val="2"/>
          <w:sz w:val="20"/>
          <w:lang w:eastAsia="en-US"/>
          <w14:ligatures w14:val="standardContextual"/>
        </w:rPr>
      </w:pPr>
      <w:r w:rsidRPr="00C77392">
        <w:rPr>
          <w:rFonts w:ascii="Verdana" w:eastAsiaTheme="minorHAnsi" w:hAnsi="Verdana" w:cs="Arial"/>
          <w:kern w:val="2"/>
          <w:sz w:val="20"/>
          <w:lang w:eastAsia="en-US"/>
          <w14:ligatures w14:val="standardContextual"/>
        </w:rPr>
        <w:t xml:space="preserve">Para efectos de verificar el cumplimiento de la inversión obligatoria en TDA que deben realizar los establecimientos de crédito, la Superintendencia Financiera de Colombia (SFC) utilizará el </w:t>
      </w:r>
      <w:r w:rsidR="007F7A18">
        <w:rPr>
          <w:rFonts w:ascii="Verdana" w:eastAsiaTheme="minorHAnsi" w:hAnsi="Verdana" w:cs="Arial"/>
          <w:kern w:val="2"/>
          <w:sz w:val="20"/>
          <w:lang w:eastAsia="en-US"/>
          <w14:ligatures w14:val="standardContextual"/>
        </w:rPr>
        <w:t>r</w:t>
      </w:r>
      <w:r w:rsidRPr="00C77392">
        <w:rPr>
          <w:rFonts w:ascii="Verdana" w:eastAsiaTheme="minorHAnsi" w:hAnsi="Verdana" w:cs="Arial"/>
          <w:kern w:val="2"/>
          <w:sz w:val="20"/>
          <w:lang w:eastAsia="en-US"/>
          <w14:ligatures w14:val="standardContextual"/>
        </w:rPr>
        <w:t>eporte que para el efecto suministra el Banco de la República</w:t>
      </w:r>
      <w:r w:rsidR="00B76021">
        <w:rPr>
          <w:rFonts w:ascii="Verdana" w:eastAsiaTheme="minorHAnsi" w:hAnsi="Verdana" w:cs="Arial"/>
          <w:kern w:val="2"/>
          <w:sz w:val="20"/>
          <w:lang w:eastAsia="en-US"/>
          <w14:ligatures w14:val="standardContextual"/>
        </w:rPr>
        <w:t xml:space="preserve">, </w:t>
      </w:r>
      <w:r w:rsidR="00B76021" w:rsidRPr="00C77392">
        <w:rPr>
          <w:rFonts w:ascii="Verdana" w:hAnsi="Verdana" w:cs="Arial"/>
          <w:sz w:val="20"/>
        </w:rPr>
        <w:t>a través del</w:t>
      </w:r>
      <w:r w:rsidR="00B76021">
        <w:rPr>
          <w:rFonts w:ascii="Verdana" w:hAnsi="Verdana" w:cs="Arial"/>
          <w:sz w:val="20"/>
        </w:rPr>
        <w:t xml:space="preserve"> formato o</w:t>
      </w:r>
      <w:r w:rsidR="00B76021" w:rsidRPr="00C77392">
        <w:rPr>
          <w:rFonts w:ascii="Verdana" w:hAnsi="Verdana" w:cs="Arial"/>
          <w:sz w:val="20"/>
        </w:rPr>
        <w:t xml:space="preserve"> </w:t>
      </w:r>
      <w:r w:rsidR="00B76021">
        <w:rPr>
          <w:rFonts w:ascii="Verdana" w:hAnsi="Verdana" w:cs="Arial"/>
          <w:sz w:val="20"/>
        </w:rPr>
        <w:t>mecanismo</w:t>
      </w:r>
      <w:r w:rsidR="00B76021" w:rsidRPr="00C77392">
        <w:rPr>
          <w:rFonts w:ascii="Verdana" w:hAnsi="Verdana" w:cs="Arial"/>
          <w:sz w:val="20"/>
        </w:rPr>
        <w:t xml:space="preserve"> </w:t>
      </w:r>
      <w:r w:rsidR="00B76021">
        <w:rPr>
          <w:rFonts w:ascii="Verdana" w:hAnsi="Verdana" w:cs="Arial"/>
          <w:sz w:val="20"/>
        </w:rPr>
        <w:t>dispuesto por esta Superintendencia, de conformidad con las instrucciones definidas por la SFC</w:t>
      </w:r>
      <w:r w:rsidR="00B76021" w:rsidRPr="00C77392">
        <w:rPr>
          <w:rFonts w:ascii="Verdana" w:hAnsi="Verdana" w:cs="Arial"/>
          <w:sz w:val="20"/>
        </w:rPr>
        <w:t>.</w:t>
      </w:r>
    </w:p>
    <w:p w14:paraId="22A17A65" w14:textId="77777777" w:rsidR="00424379" w:rsidRDefault="00424379" w:rsidP="00424379">
      <w:pPr>
        <w:pStyle w:val="Textoindependiente"/>
        <w:rPr>
          <w:rFonts w:ascii="Verdana" w:eastAsiaTheme="minorHAnsi" w:hAnsi="Verdana" w:cs="Arial"/>
          <w:kern w:val="2"/>
          <w:sz w:val="20"/>
          <w:lang w:eastAsia="en-US"/>
          <w14:ligatures w14:val="standardContextual"/>
        </w:rPr>
      </w:pPr>
    </w:p>
    <w:p w14:paraId="7A444722" w14:textId="64E69B17" w:rsidR="00424379" w:rsidRPr="00424379" w:rsidRDefault="00424379" w:rsidP="00424379">
      <w:pPr>
        <w:pStyle w:val="Textoindependiente"/>
        <w:rPr>
          <w:rFonts w:ascii="Verdana" w:hAnsi="Verdana" w:cs="Arial"/>
          <w:b/>
          <w:bCs/>
          <w:sz w:val="20"/>
        </w:rPr>
      </w:pPr>
      <w:r w:rsidRPr="00424379">
        <w:rPr>
          <w:rFonts w:ascii="Verdana" w:hAnsi="Verdana" w:cs="Arial"/>
          <w:b/>
          <w:bCs/>
          <w:sz w:val="20"/>
        </w:rPr>
        <w:t>RÉGIMEN SANCIONATORIO</w:t>
      </w:r>
    </w:p>
    <w:p w14:paraId="023745BB" w14:textId="77777777" w:rsidR="00424379" w:rsidRDefault="00424379" w:rsidP="00424379">
      <w:pPr>
        <w:pStyle w:val="Textoindependiente"/>
        <w:rPr>
          <w:rFonts w:ascii="Verdana" w:hAnsi="Verdana" w:cs="Arial"/>
          <w:sz w:val="20"/>
        </w:rPr>
      </w:pPr>
    </w:p>
    <w:p w14:paraId="7398BBA8" w14:textId="2869E9B3" w:rsidR="00D00FCF" w:rsidRPr="00424379" w:rsidRDefault="00D00FCF" w:rsidP="00424379">
      <w:pPr>
        <w:pStyle w:val="Textoindependiente"/>
        <w:rPr>
          <w:rFonts w:ascii="Verdana" w:eastAsiaTheme="minorHAnsi" w:hAnsi="Verdana" w:cs="Arial"/>
          <w:kern w:val="2"/>
          <w:sz w:val="20"/>
          <w:lang w:eastAsia="en-US"/>
          <w14:ligatures w14:val="standardContextual"/>
        </w:rPr>
      </w:pPr>
      <w:r w:rsidRPr="00C77392">
        <w:rPr>
          <w:rFonts w:ascii="Verdana" w:hAnsi="Verdana" w:cs="Arial"/>
          <w:sz w:val="20"/>
        </w:rPr>
        <w:t>2.8.3.16.</w:t>
      </w:r>
    </w:p>
    <w:p w14:paraId="4564133E" w14:textId="48688F05" w:rsidR="00D00FCF" w:rsidRPr="00C77392" w:rsidRDefault="00D00FCF" w:rsidP="00D00FCF">
      <w:pPr>
        <w:jc w:val="both"/>
        <w:rPr>
          <w:rFonts w:ascii="Verdana" w:hAnsi="Verdana" w:cs="Arial"/>
          <w:sz w:val="20"/>
          <w:szCs w:val="20"/>
        </w:rPr>
      </w:pPr>
      <w:r w:rsidRPr="00C77392">
        <w:rPr>
          <w:rFonts w:ascii="Verdana" w:hAnsi="Verdana" w:cs="Arial"/>
          <w:sz w:val="20"/>
          <w:szCs w:val="20"/>
        </w:rPr>
        <w:t>Cuando se presente un defecto en la inversión obligatoria en TDA clases A y B, el establecimiento de crédito en incumplimiento estará sujeto a las sanciones aplicables de acuerdo los artículos 209 y 211 del EOSF, sin perjuicio de que el establecimiento corrija inmediatamente tal defecto y cumpla con el monto requerido de inversión obligatoria.</w:t>
      </w:r>
    </w:p>
    <w:p w14:paraId="2B430B10" w14:textId="77777777" w:rsidR="00D00FCF" w:rsidRPr="00C77392" w:rsidRDefault="00D00FCF" w:rsidP="00D00FCF">
      <w:pPr>
        <w:jc w:val="both"/>
        <w:rPr>
          <w:rFonts w:ascii="Verdana" w:hAnsi="Verdana" w:cs="Arial"/>
          <w:sz w:val="20"/>
          <w:szCs w:val="20"/>
        </w:rPr>
      </w:pPr>
    </w:p>
    <w:p w14:paraId="460C40F9" w14:textId="77777777" w:rsidR="00D00FCF" w:rsidRPr="00C77392" w:rsidRDefault="00D00FCF" w:rsidP="00D00FCF">
      <w:pPr>
        <w:spacing w:after="0"/>
        <w:rPr>
          <w:rFonts w:ascii="Verdana" w:hAnsi="Verdana" w:cs="Arial"/>
          <w:sz w:val="20"/>
          <w:szCs w:val="20"/>
        </w:rPr>
      </w:pPr>
    </w:p>
    <w:sectPr w:rsidR="00D00FCF" w:rsidRPr="00C77392"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DAB19" w14:textId="77777777" w:rsidR="00DA53D3" w:rsidRDefault="00DA53D3" w:rsidP="00057BF6">
      <w:pPr>
        <w:spacing w:after="0" w:line="240" w:lineRule="auto"/>
      </w:pPr>
      <w:r>
        <w:separator/>
      </w:r>
    </w:p>
  </w:endnote>
  <w:endnote w:type="continuationSeparator" w:id="0">
    <w:p w14:paraId="6FE99193" w14:textId="77777777" w:rsidR="00DA53D3" w:rsidRDefault="00DA53D3"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7E6CF" w14:textId="77777777" w:rsidR="00DA53D3" w:rsidRDefault="00DA53D3" w:rsidP="00057BF6">
      <w:pPr>
        <w:spacing w:after="0" w:line="240" w:lineRule="auto"/>
      </w:pPr>
      <w:r>
        <w:separator/>
      </w:r>
    </w:p>
  </w:footnote>
  <w:footnote w:type="continuationSeparator" w:id="0">
    <w:p w14:paraId="5C969434" w14:textId="77777777" w:rsidR="00DA53D3" w:rsidRDefault="00DA53D3"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0B0BA7"/>
    <w:multiLevelType w:val="hybridMultilevel"/>
    <w:tmpl w:val="E26E312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BCC4487"/>
    <w:multiLevelType w:val="hybridMultilevel"/>
    <w:tmpl w:val="6344B04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BE4672D"/>
    <w:multiLevelType w:val="hybridMultilevel"/>
    <w:tmpl w:val="0C78D3A6"/>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E922EF7"/>
    <w:multiLevelType w:val="hybridMultilevel"/>
    <w:tmpl w:val="44FCE8F2"/>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1E76E3C"/>
    <w:multiLevelType w:val="hybridMultilevel"/>
    <w:tmpl w:val="6D3C35CE"/>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1E0610"/>
    <w:multiLevelType w:val="hybridMultilevel"/>
    <w:tmpl w:val="5A1EADAA"/>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F3553D"/>
    <w:multiLevelType w:val="hybridMultilevel"/>
    <w:tmpl w:val="869812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17DF6FA6"/>
    <w:multiLevelType w:val="hybridMultilevel"/>
    <w:tmpl w:val="F6825A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9016367"/>
    <w:multiLevelType w:val="hybridMultilevel"/>
    <w:tmpl w:val="496ACB18"/>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0" w15:restartNumberingAfterBreak="0">
    <w:nsid w:val="1B746782"/>
    <w:multiLevelType w:val="hybridMultilevel"/>
    <w:tmpl w:val="AA2CC714"/>
    <w:lvl w:ilvl="0" w:tplc="51E06BFE">
      <w:start w:val="1"/>
      <w:numFmt w:val="decimal"/>
      <w:lvlText w:val="%1."/>
      <w:lvlJc w:val="left"/>
      <w:pPr>
        <w:ind w:left="360" w:hanging="360"/>
      </w:pPr>
      <w:rPr>
        <w:b/>
      </w:rPr>
    </w:lvl>
    <w:lvl w:ilvl="1" w:tplc="AF9A35B0">
      <w:start w:val="1"/>
      <w:numFmt w:val="lowerLetter"/>
      <w:lvlText w:val="(%2)"/>
      <w:lvlJc w:val="left"/>
      <w:pPr>
        <w:ind w:left="1080" w:hanging="360"/>
      </w:pPr>
      <w:rPr>
        <w:rFonts w:hint="default"/>
      </w:rPr>
    </w:lvl>
    <w:lvl w:ilvl="2" w:tplc="EED2788E">
      <w:start w:val="1"/>
      <w:numFmt w:val="lowerLetter"/>
      <w:lvlText w:val="%3)"/>
      <w:lvlJc w:val="left"/>
      <w:pPr>
        <w:ind w:left="1695" w:hanging="75"/>
      </w:pPr>
      <w:rPr>
        <w:rFonts w:hint="default"/>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1BFD7307"/>
    <w:multiLevelType w:val="hybridMultilevel"/>
    <w:tmpl w:val="ADF635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20227BDF"/>
    <w:multiLevelType w:val="hybridMultilevel"/>
    <w:tmpl w:val="648E26E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5850A78"/>
    <w:multiLevelType w:val="hybridMultilevel"/>
    <w:tmpl w:val="C0EA554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5F859B6"/>
    <w:multiLevelType w:val="hybridMultilevel"/>
    <w:tmpl w:val="CF8CC6B0"/>
    <w:lvl w:ilvl="0" w:tplc="240A0017">
      <w:start w:val="1"/>
      <w:numFmt w:val="lowerLetter"/>
      <w:lvlText w:val="%1)"/>
      <w:lvlJc w:val="left"/>
      <w:pPr>
        <w:ind w:left="360" w:hanging="360"/>
      </w:pPr>
      <w:rPr>
        <w:rFonts w:hint="default"/>
        <w:b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278425DC"/>
    <w:multiLevelType w:val="multilevel"/>
    <w:tmpl w:val="CC0C76E4"/>
    <w:lvl w:ilvl="0">
      <w:start w:val="1"/>
      <w:numFmt w:val="decimal"/>
      <w:lvlText w:val="%1."/>
      <w:lvlJc w:val="left"/>
      <w:pPr>
        <w:ind w:left="360" w:hanging="360"/>
      </w:pPr>
      <w:rPr>
        <w:b/>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6" w15:restartNumberingAfterBreak="0">
    <w:nsid w:val="2A897DBC"/>
    <w:multiLevelType w:val="hybridMultilevel"/>
    <w:tmpl w:val="EE6893F6"/>
    <w:lvl w:ilvl="0" w:tplc="240A0001">
      <w:start w:val="1"/>
      <w:numFmt w:val="bullet"/>
      <w:lvlText w:val=""/>
      <w:lvlJc w:val="left"/>
      <w:pPr>
        <w:ind w:left="360" w:hanging="360"/>
      </w:pPr>
      <w:rPr>
        <w:rFonts w:ascii="Symbol" w:hAnsi="Symbol" w:hint="default"/>
      </w:rPr>
    </w:lvl>
    <w:lvl w:ilvl="1" w:tplc="240A0001">
      <w:start w:val="1"/>
      <w:numFmt w:val="bullet"/>
      <w:lvlText w:val=""/>
      <w:lvlJc w:val="left"/>
      <w:pPr>
        <w:ind w:left="1080" w:hanging="360"/>
      </w:pPr>
      <w:rPr>
        <w:rFonts w:ascii="Symbol" w:hAnsi="Symbo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15:restartNumberingAfterBreak="0">
    <w:nsid w:val="2BA92893"/>
    <w:multiLevelType w:val="hybridMultilevel"/>
    <w:tmpl w:val="6E08BFAC"/>
    <w:lvl w:ilvl="0" w:tplc="240A0001">
      <w:start w:val="1"/>
      <w:numFmt w:val="bullet"/>
      <w:lvlText w:val=""/>
      <w:lvlJc w:val="left"/>
      <w:pPr>
        <w:ind w:left="380" w:hanging="360"/>
      </w:pPr>
      <w:rPr>
        <w:rFonts w:ascii="Symbol" w:hAnsi="Symbol" w:hint="default"/>
      </w:rPr>
    </w:lvl>
    <w:lvl w:ilvl="1" w:tplc="240A0003">
      <w:start w:val="1"/>
      <w:numFmt w:val="bullet"/>
      <w:lvlText w:val="o"/>
      <w:lvlJc w:val="left"/>
      <w:pPr>
        <w:ind w:left="1100" w:hanging="360"/>
      </w:pPr>
      <w:rPr>
        <w:rFonts w:ascii="Courier New" w:hAnsi="Courier New" w:cs="Courier New" w:hint="default"/>
      </w:rPr>
    </w:lvl>
    <w:lvl w:ilvl="2" w:tplc="240A0005" w:tentative="1">
      <w:start w:val="1"/>
      <w:numFmt w:val="bullet"/>
      <w:lvlText w:val=""/>
      <w:lvlJc w:val="left"/>
      <w:pPr>
        <w:ind w:left="1820" w:hanging="360"/>
      </w:pPr>
      <w:rPr>
        <w:rFonts w:ascii="Wingdings" w:hAnsi="Wingdings" w:hint="default"/>
      </w:rPr>
    </w:lvl>
    <w:lvl w:ilvl="3" w:tplc="240A0001" w:tentative="1">
      <w:start w:val="1"/>
      <w:numFmt w:val="bullet"/>
      <w:lvlText w:val=""/>
      <w:lvlJc w:val="left"/>
      <w:pPr>
        <w:ind w:left="2540" w:hanging="360"/>
      </w:pPr>
      <w:rPr>
        <w:rFonts w:ascii="Symbol" w:hAnsi="Symbol" w:hint="default"/>
      </w:rPr>
    </w:lvl>
    <w:lvl w:ilvl="4" w:tplc="240A0003" w:tentative="1">
      <w:start w:val="1"/>
      <w:numFmt w:val="bullet"/>
      <w:lvlText w:val="o"/>
      <w:lvlJc w:val="left"/>
      <w:pPr>
        <w:ind w:left="3260" w:hanging="360"/>
      </w:pPr>
      <w:rPr>
        <w:rFonts w:ascii="Courier New" w:hAnsi="Courier New" w:cs="Courier New" w:hint="default"/>
      </w:rPr>
    </w:lvl>
    <w:lvl w:ilvl="5" w:tplc="240A0005" w:tentative="1">
      <w:start w:val="1"/>
      <w:numFmt w:val="bullet"/>
      <w:lvlText w:val=""/>
      <w:lvlJc w:val="left"/>
      <w:pPr>
        <w:ind w:left="3980" w:hanging="360"/>
      </w:pPr>
      <w:rPr>
        <w:rFonts w:ascii="Wingdings" w:hAnsi="Wingdings" w:hint="default"/>
      </w:rPr>
    </w:lvl>
    <w:lvl w:ilvl="6" w:tplc="240A0001" w:tentative="1">
      <w:start w:val="1"/>
      <w:numFmt w:val="bullet"/>
      <w:lvlText w:val=""/>
      <w:lvlJc w:val="left"/>
      <w:pPr>
        <w:ind w:left="4700" w:hanging="360"/>
      </w:pPr>
      <w:rPr>
        <w:rFonts w:ascii="Symbol" w:hAnsi="Symbol" w:hint="default"/>
      </w:rPr>
    </w:lvl>
    <w:lvl w:ilvl="7" w:tplc="240A0003" w:tentative="1">
      <w:start w:val="1"/>
      <w:numFmt w:val="bullet"/>
      <w:lvlText w:val="o"/>
      <w:lvlJc w:val="left"/>
      <w:pPr>
        <w:ind w:left="5420" w:hanging="360"/>
      </w:pPr>
      <w:rPr>
        <w:rFonts w:ascii="Courier New" w:hAnsi="Courier New" w:cs="Courier New" w:hint="default"/>
      </w:rPr>
    </w:lvl>
    <w:lvl w:ilvl="8" w:tplc="240A0005" w:tentative="1">
      <w:start w:val="1"/>
      <w:numFmt w:val="bullet"/>
      <w:lvlText w:val=""/>
      <w:lvlJc w:val="left"/>
      <w:pPr>
        <w:ind w:left="6140" w:hanging="360"/>
      </w:pPr>
      <w:rPr>
        <w:rFonts w:ascii="Wingdings" w:hAnsi="Wingdings" w:hint="default"/>
      </w:rPr>
    </w:lvl>
  </w:abstractNum>
  <w:abstractNum w:abstractNumId="18" w15:restartNumberingAfterBreak="0">
    <w:nsid w:val="2CFA1F7C"/>
    <w:multiLevelType w:val="hybridMultilevel"/>
    <w:tmpl w:val="02B41F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30D472C3"/>
    <w:multiLevelType w:val="hybridMultilevel"/>
    <w:tmpl w:val="F4EA3718"/>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321E67D6"/>
    <w:multiLevelType w:val="hybridMultilevel"/>
    <w:tmpl w:val="DB527220"/>
    <w:lvl w:ilvl="0" w:tplc="240A0001">
      <w:start w:val="1"/>
      <w:numFmt w:val="bullet"/>
      <w:lvlText w:val=""/>
      <w:lvlJc w:val="left"/>
      <w:pPr>
        <w:ind w:left="360" w:hanging="360"/>
      </w:pPr>
      <w:rPr>
        <w:rFonts w:ascii="Symbol" w:hAnsi="Symbol" w:hint="default"/>
      </w:rPr>
    </w:lvl>
    <w:lvl w:ilvl="1" w:tplc="A53C5CAA">
      <w:numFmt w:val="bullet"/>
      <w:lvlText w:val="•"/>
      <w:lvlJc w:val="left"/>
      <w:pPr>
        <w:ind w:left="1536" w:hanging="816"/>
      </w:pPr>
      <w:rPr>
        <w:rFonts w:ascii="Arial" w:eastAsia="Calibri" w:hAnsi="Arial" w:cs="Aria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52D2ADE"/>
    <w:multiLevelType w:val="hybridMultilevel"/>
    <w:tmpl w:val="6158C136"/>
    <w:lvl w:ilvl="0" w:tplc="240A0017">
      <w:start w:val="1"/>
      <w:numFmt w:val="lowerLetter"/>
      <w:lvlText w:val="%1)"/>
      <w:lvlJc w:val="left"/>
      <w:pPr>
        <w:ind w:left="502"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439D278C"/>
    <w:multiLevelType w:val="hybridMultilevel"/>
    <w:tmpl w:val="AE02F8FE"/>
    <w:lvl w:ilvl="0" w:tplc="DB468BB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7874786"/>
    <w:multiLevelType w:val="hybridMultilevel"/>
    <w:tmpl w:val="D6C272AC"/>
    <w:lvl w:ilvl="0" w:tplc="A3C89E86">
      <w:start w:val="1"/>
      <w:numFmt w:val="lowerLetter"/>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551133C1"/>
    <w:multiLevelType w:val="hybridMultilevel"/>
    <w:tmpl w:val="0DC46AF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58963794"/>
    <w:multiLevelType w:val="hybridMultilevel"/>
    <w:tmpl w:val="B27A98B0"/>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5CA01F37"/>
    <w:multiLevelType w:val="hybridMultilevel"/>
    <w:tmpl w:val="6DA4926C"/>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E070428"/>
    <w:multiLevelType w:val="multilevel"/>
    <w:tmpl w:val="3B5206D2"/>
    <w:lvl w:ilvl="0">
      <w:numFmt w:val="bullet"/>
      <w:lvlText w:val="-"/>
      <w:lvlJc w:val="left"/>
      <w:pPr>
        <w:ind w:left="360" w:hanging="360"/>
      </w:pPr>
      <w:rPr>
        <w:rFonts w:ascii="Times New Roman" w:eastAsia="Times New Roman" w:hAnsi="Times New Roman" w:cs="Times New Roman" w:hint="default"/>
        <w:sz w:val="24"/>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607774DA"/>
    <w:multiLevelType w:val="hybridMultilevel"/>
    <w:tmpl w:val="06AC4E0C"/>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63A2050F"/>
    <w:multiLevelType w:val="hybridMultilevel"/>
    <w:tmpl w:val="673A995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7DE0799"/>
    <w:multiLevelType w:val="hybridMultilevel"/>
    <w:tmpl w:val="5F6E74EA"/>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99D78BB"/>
    <w:multiLevelType w:val="hybridMultilevel"/>
    <w:tmpl w:val="0EDC814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3" w15:restartNumberingAfterBreak="0">
    <w:nsid w:val="6A161E59"/>
    <w:multiLevelType w:val="hybridMultilevel"/>
    <w:tmpl w:val="0B12EFA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D7740FF"/>
    <w:multiLevelType w:val="hybridMultilevel"/>
    <w:tmpl w:val="8D963E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5" w15:restartNumberingAfterBreak="0">
    <w:nsid w:val="6E934984"/>
    <w:multiLevelType w:val="hybridMultilevel"/>
    <w:tmpl w:val="509E0F7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6" w15:restartNumberingAfterBreak="0">
    <w:nsid w:val="6EB576DF"/>
    <w:multiLevelType w:val="hybridMultilevel"/>
    <w:tmpl w:val="52029F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7"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7A6689F"/>
    <w:multiLevelType w:val="hybridMultilevel"/>
    <w:tmpl w:val="C762A2B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9" w15:restartNumberingAfterBreak="0">
    <w:nsid w:val="7A375582"/>
    <w:multiLevelType w:val="hybridMultilevel"/>
    <w:tmpl w:val="282450C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78432656">
    <w:abstractNumId w:val="25"/>
  </w:num>
  <w:num w:numId="2" w16cid:durableId="1880435568">
    <w:abstractNumId w:val="37"/>
  </w:num>
  <w:num w:numId="3" w16cid:durableId="1362513633">
    <w:abstractNumId w:val="0"/>
  </w:num>
  <w:num w:numId="4" w16cid:durableId="865407780">
    <w:abstractNumId w:val="13"/>
  </w:num>
  <w:num w:numId="5" w16cid:durableId="2142072933">
    <w:abstractNumId w:val="11"/>
  </w:num>
  <w:num w:numId="6" w16cid:durableId="1895698361">
    <w:abstractNumId w:val="32"/>
  </w:num>
  <w:num w:numId="7" w16cid:durableId="2113162086">
    <w:abstractNumId w:val="2"/>
  </w:num>
  <w:num w:numId="8" w16cid:durableId="153033862">
    <w:abstractNumId w:val="12"/>
  </w:num>
  <w:num w:numId="9" w16cid:durableId="1967345544">
    <w:abstractNumId w:val="6"/>
  </w:num>
  <w:num w:numId="10" w16cid:durableId="981033342">
    <w:abstractNumId w:val="39"/>
  </w:num>
  <w:num w:numId="11" w16cid:durableId="1402868393">
    <w:abstractNumId w:val="9"/>
  </w:num>
  <w:num w:numId="12" w16cid:durableId="1006246652">
    <w:abstractNumId w:val="28"/>
  </w:num>
  <w:num w:numId="13" w16cid:durableId="978728261">
    <w:abstractNumId w:val="20"/>
  </w:num>
  <w:num w:numId="14" w16cid:durableId="78528817">
    <w:abstractNumId w:val="24"/>
  </w:num>
  <w:num w:numId="15" w16cid:durableId="1400783133">
    <w:abstractNumId w:val="34"/>
  </w:num>
  <w:num w:numId="16" w16cid:durableId="1938364807">
    <w:abstractNumId w:val="17"/>
  </w:num>
  <w:num w:numId="17" w16cid:durableId="1205092842">
    <w:abstractNumId w:val="27"/>
  </w:num>
  <w:num w:numId="18" w16cid:durableId="767624783">
    <w:abstractNumId w:val="36"/>
  </w:num>
  <w:num w:numId="19" w16cid:durableId="1220632725">
    <w:abstractNumId w:val="35"/>
  </w:num>
  <w:num w:numId="20" w16cid:durableId="2122873339">
    <w:abstractNumId w:val="21"/>
  </w:num>
  <w:num w:numId="21" w16cid:durableId="291398624">
    <w:abstractNumId w:val="1"/>
  </w:num>
  <w:num w:numId="22" w16cid:durableId="1656568277">
    <w:abstractNumId w:val="23"/>
  </w:num>
  <w:num w:numId="23" w16cid:durableId="693846277">
    <w:abstractNumId w:val="38"/>
  </w:num>
  <w:num w:numId="24" w16cid:durableId="626394639">
    <w:abstractNumId w:val="33"/>
  </w:num>
  <w:num w:numId="25" w16cid:durableId="1283152959">
    <w:abstractNumId w:val="15"/>
  </w:num>
  <w:num w:numId="26" w16cid:durableId="1833835843">
    <w:abstractNumId w:val="10"/>
  </w:num>
  <w:num w:numId="27" w16cid:durableId="1448355760">
    <w:abstractNumId w:val="22"/>
  </w:num>
  <w:num w:numId="28" w16cid:durableId="1302419666">
    <w:abstractNumId w:val="14"/>
  </w:num>
  <w:num w:numId="29" w16cid:durableId="996416780">
    <w:abstractNumId w:val="19"/>
  </w:num>
  <w:num w:numId="30" w16cid:durableId="679966915">
    <w:abstractNumId w:val="26"/>
  </w:num>
  <w:num w:numId="31" w16cid:durableId="388916171">
    <w:abstractNumId w:val="31"/>
  </w:num>
  <w:num w:numId="32" w16cid:durableId="1085344735">
    <w:abstractNumId w:val="8"/>
  </w:num>
  <w:num w:numId="33" w16cid:durableId="178398284">
    <w:abstractNumId w:val="29"/>
  </w:num>
  <w:num w:numId="34" w16cid:durableId="1256087641">
    <w:abstractNumId w:val="4"/>
  </w:num>
  <w:num w:numId="35" w16cid:durableId="432360488">
    <w:abstractNumId w:val="5"/>
  </w:num>
  <w:num w:numId="36" w16cid:durableId="184101424">
    <w:abstractNumId w:val="30"/>
  </w:num>
  <w:num w:numId="37" w16cid:durableId="1636792291">
    <w:abstractNumId w:val="7"/>
  </w:num>
  <w:num w:numId="38" w16cid:durableId="1738629813">
    <w:abstractNumId w:val="3"/>
  </w:num>
  <w:num w:numId="39" w16cid:durableId="1292438572">
    <w:abstractNumId w:val="18"/>
  </w:num>
  <w:num w:numId="40" w16cid:durableId="5389749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53942"/>
    <w:rsid w:val="00057BF6"/>
    <w:rsid w:val="000644F9"/>
    <w:rsid w:val="0006736C"/>
    <w:rsid w:val="000D5DAD"/>
    <w:rsid w:val="000E244F"/>
    <w:rsid w:val="00100534"/>
    <w:rsid w:val="00124983"/>
    <w:rsid w:val="00127C80"/>
    <w:rsid w:val="00156CF1"/>
    <w:rsid w:val="001A3F2E"/>
    <w:rsid w:val="001B5187"/>
    <w:rsid w:val="001D7496"/>
    <w:rsid w:val="0021666A"/>
    <w:rsid w:val="00294F40"/>
    <w:rsid w:val="002B4F4A"/>
    <w:rsid w:val="002D6B53"/>
    <w:rsid w:val="002F5CF4"/>
    <w:rsid w:val="002F7915"/>
    <w:rsid w:val="003134C2"/>
    <w:rsid w:val="0032488F"/>
    <w:rsid w:val="003556A2"/>
    <w:rsid w:val="0036407F"/>
    <w:rsid w:val="0039573C"/>
    <w:rsid w:val="003A1C39"/>
    <w:rsid w:val="003A5CFE"/>
    <w:rsid w:val="003C558F"/>
    <w:rsid w:val="0040498E"/>
    <w:rsid w:val="00405030"/>
    <w:rsid w:val="00406D2B"/>
    <w:rsid w:val="004130BB"/>
    <w:rsid w:val="004146D1"/>
    <w:rsid w:val="00424379"/>
    <w:rsid w:val="0043223D"/>
    <w:rsid w:val="004362B9"/>
    <w:rsid w:val="00470F1B"/>
    <w:rsid w:val="004A22EB"/>
    <w:rsid w:val="004B0479"/>
    <w:rsid w:val="004D6C3F"/>
    <w:rsid w:val="00501F54"/>
    <w:rsid w:val="00525BD0"/>
    <w:rsid w:val="00544A86"/>
    <w:rsid w:val="00555726"/>
    <w:rsid w:val="0055785C"/>
    <w:rsid w:val="00593883"/>
    <w:rsid w:val="00593C32"/>
    <w:rsid w:val="00596B88"/>
    <w:rsid w:val="0061423F"/>
    <w:rsid w:val="006378EE"/>
    <w:rsid w:val="006A5FB0"/>
    <w:rsid w:val="006B11D4"/>
    <w:rsid w:val="00720CC5"/>
    <w:rsid w:val="00721D02"/>
    <w:rsid w:val="007A302E"/>
    <w:rsid w:val="007A4231"/>
    <w:rsid w:val="007B3232"/>
    <w:rsid w:val="007F7A18"/>
    <w:rsid w:val="00804ECE"/>
    <w:rsid w:val="0082329A"/>
    <w:rsid w:val="00830830"/>
    <w:rsid w:val="00840238"/>
    <w:rsid w:val="008519F7"/>
    <w:rsid w:val="00852086"/>
    <w:rsid w:val="008D495C"/>
    <w:rsid w:val="008F752E"/>
    <w:rsid w:val="00907CEF"/>
    <w:rsid w:val="00956EC8"/>
    <w:rsid w:val="009571FD"/>
    <w:rsid w:val="009670CB"/>
    <w:rsid w:val="0099338A"/>
    <w:rsid w:val="009A2823"/>
    <w:rsid w:val="009B6D85"/>
    <w:rsid w:val="009C5880"/>
    <w:rsid w:val="009D18BF"/>
    <w:rsid w:val="009D35BB"/>
    <w:rsid w:val="009D6127"/>
    <w:rsid w:val="009F1B8A"/>
    <w:rsid w:val="00A22DF4"/>
    <w:rsid w:val="00A23664"/>
    <w:rsid w:val="00A26BBB"/>
    <w:rsid w:val="00A41E5E"/>
    <w:rsid w:val="00A824D0"/>
    <w:rsid w:val="00A9232C"/>
    <w:rsid w:val="00AB6479"/>
    <w:rsid w:val="00AE0316"/>
    <w:rsid w:val="00AF39C9"/>
    <w:rsid w:val="00B76021"/>
    <w:rsid w:val="00BC7C06"/>
    <w:rsid w:val="00BD3218"/>
    <w:rsid w:val="00C0261F"/>
    <w:rsid w:val="00C43EC7"/>
    <w:rsid w:val="00C65B29"/>
    <w:rsid w:val="00C77392"/>
    <w:rsid w:val="00C9677F"/>
    <w:rsid w:val="00CC3647"/>
    <w:rsid w:val="00CC6142"/>
    <w:rsid w:val="00CF6F15"/>
    <w:rsid w:val="00D00FCF"/>
    <w:rsid w:val="00D02AC6"/>
    <w:rsid w:val="00D92FCD"/>
    <w:rsid w:val="00D97993"/>
    <w:rsid w:val="00DA0C0E"/>
    <w:rsid w:val="00DA53D3"/>
    <w:rsid w:val="00DB3370"/>
    <w:rsid w:val="00DF5A5A"/>
    <w:rsid w:val="00E03CCC"/>
    <w:rsid w:val="00E36D12"/>
    <w:rsid w:val="00EE23A3"/>
    <w:rsid w:val="00EF52B0"/>
    <w:rsid w:val="00EF7518"/>
    <w:rsid w:val="00F67F4C"/>
    <w:rsid w:val="00FD34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542C7A95-EB57-49ED-8ECD-A1F12FD9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2"/>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3"/>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2.xml><?xml version="1.0" encoding="utf-8"?>
<ds:datastoreItem xmlns:ds="http://schemas.openxmlformats.org/officeDocument/2006/customXml" ds:itemID="{7155B550-7058-4F94-BC69-0B72234A8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834</Words>
  <Characters>4383</Characters>
  <Application>Microsoft Office Word</Application>
  <DocSecurity>0</DocSecurity>
  <Lines>99</Lines>
  <Paragraphs>45</Paragraphs>
  <ScaleCrop>false</ScaleCrop>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41</cp:revision>
  <dcterms:created xsi:type="dcterms:W3CDTF">2025-03-03T15:43:00Z</dcterms:created>
  <dcterms:modified xsi:type="dcterms:W3CDTF">2026-04-13T14:42:00Z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92600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